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0D" w:rsidRDefault="0015130D" w:rsidP="007D2709">
      <w:pPr>
        <w:pStyle w:val="Title"/>
      </w:pPr>
      <w:r>
        <w:t>Peer Health Coaching</w:t>
      </w:r>
      <w:r w:rsidR="007D2709">
        <w:t>:</w:t>
      </w:r>
    </w:p>
    <w:p w:rsidR="007D2709" w:rsidRPr="007D2709" w:rsidRDefault="005F73A8" w:rsidP="007D2709">
      <w:pPr>
        <w:rPr>
          <w:sz w:val="36"/>
        </w:rPr>
      </w:pPr>
      <w:r>
        <w:rPr>
          <w:sz w:val="36"/>
        </w:rPr>
        <w:t>Some preliminary findings.</w:t>
      </w:r>
      <w:bookmarkStart w:id="0" w:name="_GoBack"/>
      <w:bookmarkEnd w:id="0"/>
    </w:p>
    <w:p w:rsidR="0015130D" w:rsidRDefault="0015130D" w:rsidP="007D2709">
      <w:pPr>
        <w:spacing w:before="240" w:line="276" w:lineRule="auto"/>
      </w:pPr>
      <w:r>
        <w:t xml:space="preserve">As part of </w:t>
      </w:r>
      <w:r w:rsidR="005F73A8">
        <w:t>a</w:t>
      </w:r>
      <w:r>
        <w:t xml:space="preserve"> Peer Health Coaching program</w:t>
      </w:r>
      <w:r w:rsidR="005F73A8">
        <w:t xml:space="preserve"> conducted in SA</w:t>
      </w:r>
      <w:r>
        <w:t>, we asked people to complete a questionnaire on entry and again on exit from the program. The questionnaires included a variety of questions looking at wellbeing, health literacy, personal situation, and health behaviours of people.</w:t>
      </w:r>
    </w:p>
    <w:p w:rsidR="0015130D" w:rsidRDefault="0015130D" w:rsidP="007D2709">
      <w:pPr>
        <w:spacing w:line="276" w:lineRule="auto"/>
      </w:pPr>
      <w:r>
        <w:t>The below is a summary of some of the data collected in the questionnaire.</w:t>
      </w:r>
    </w:p>
    <w:p w:rsidR="007A410C" w:rsidRDefault="007A410C" w:rsidP="007D2709">
      <w:pPr>
        <w:spacing w:line="276" w:lineRule="auto"/>
      </w:pPr>
      <w:r>
        <w:t>At the end of the program we had:</w:t>
      </w:r>
    </w:p>
    <w:p w:rsidR="007A410C" w:rsidRDefault="007A410C" w:rsidP="007D2709">
      <w:pPr>
        <w:pStyle w:val="ListParagraph"/>
        <w:numPr>
          <w:ilvl w:val="0"/>
          <w:numId w:val="1"/>
        </w:numPr>
        <w:spacing w:line="276" w:lineRule="auto"/>
      </w:pPr>
      <w:r>
        <w:t>38 Pre-questionnaires completed</w:t>
      </w:r>
    </w:p>
    <w:p w:rsidR="007A410C" w:rsidRDefault="007A410C" w:rsidP="007D2709">
      <w:pPr>
        <w:pStyle w:val="ListParagraph"/>
        <w:numPr>
          <w:ilvl w:val="0"/>
          <w:numId w:val="1"/>
        </w:numPr>
        <w:spacing w:line="276" w:lineRule="auto"/>
      </w:pPr>
      <w:r>
        <w:t>20 Post-questionnaires completed</w:t>
      </w:r>
    </w:p>
    <w:p w:rsidR="0015130D" w:rsidRDefault="0015130D" w:rsidP="007D2709">
      <w:pPr>
        <w:spacing w:line="276" w:lineRule="auto"/>
      </w:pPr>
      <w:r>
        <w:t xml:space="preserve">Accompanying the program is a research project. Our aim is to publish the results of the research project using the data from people who agreed to participate in the research. We will publish more detailed analysis as part of this research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016"/>
      </w:tblGrid>
      <w:tr w:rsidR="007D2709" w:rsidRPr="007D2709" w:rsidTr="007D2709">
        <w:tc>
          <w:tcPr>
            <w:tcW w:w="9016" w:type="dxa"/>
            <w:shd w:val="clear" w:color="auto" w:fill="1F497D" w:themeFill="text2"/>
          </w:tcPr>
          <w:p w:rsidR="007D2709" w:rsidRPr="007D2709" w:rsidRDefault="007D2709" w:rsidP="0088759F">
            <w:pPr>
              <w:spacing w:after="0" w:line="276" w:lineRule="auto"/>
              <w:rPr>
                <w:b/>
                <w:color w:val="FFFFFF" w:themeColor="background1"/>
                <w:sz w:val="32"/>
              </w:rPr>
            </w:pPr>
            <w:r w:rsidRPr="007D2709">
              <w:rPr>
                <w:b/>
                <w:color w:val="FFFFFF" w:themeColor="background1"/>
                <w:sz w:val="32"/>
              </w:rPr>
              <w:t>World Health Organisation Wellbeing Index</w:t>
            </w:r>
          </w:p>
        </w:tc>
      </w:tr>
    </w:tbl>
    <w:p w:rsidR="004E61D2" w:rsidRDefault="004E61D2" w:rsidP="007D2709">
      <w:pPr>
        <w:spacing w:before="120" w:line="276" w:lineRule="auto"/>
      </w:pPr>
      <w:r>
        <w:t>The World Health Organisation</w:t>
      </w:r>
      <w:r w:rsidR="00CE2398">
        <w:t xml:space="preserve"> Wellbeing Index (WHO-5) is a 5-</w:t>
      </w:r>
      <w:r>
        <w:t>item questionnaire that is used widely to measure subjective psychological wellbeing (</w:t>
      </w:r>
      <w:proofErr w:type="spellStart"/>
      <w:r>
        <w:t>Topp</w:t>
      </w:r>
      <w:proofErr w:type="spellEnd"/>
      <w:r>
        <w:t xml:space="preserve"> et. al. 2015) People are given a score out of 100. The higher the score the higher the subjective wellbeing. People who score below 50 are more likely t</w:t>
      </w:r>
      <w:r w:rsidR="007F5649">
        <w:t>o have higher mortality rates to those scoring above 50 (</w:t>
      </w:r>
      <w:proofErr w:type="spellStart"/>
      <w:r w:rsidR="007F5649">
        <w:t>Topp</w:t>
      </w:r>
      <w:proofErr w:type="spellEnd"/>
      <w:r w:rsidR="007F5649">
        <w:t xml:space="preserve"> et. al. 2015)</w:t>
      </w:r>
    </w:p>
    <w:p w:rsidR="004E61D2" w:rsidRDefault="004E61D2" w:rsidP="007D2709">
      <w:pPr>
        <w:spacing w:line="276" w:lineRule="auto"/>
      </w:pPr>
      <w:r>
        <w:t xml:space="preserve">There were 20 people in the Peer Health Coaching program who completed the questionnaire when they entered and exited the program. </w:t>
      </w:r>
      <w:r w:rsidR="001C0A71">
        <w:t xml:space="preserve">There was an increase in WHO-5 scores from entry (44.6) to </w:t>
      </w:r>
      <w:proofErr w:type="gramStart"/>
      <w:r w:rsidR="001C0A71">
        <w:t>exit</w:t>
      </w:r>
      <w:proofErr w:type="gramEnd"/>
      <w:r w:rsidR="001C0A71">
        <w:t xml:space="preserve"> (64.6). The increase in mean scores of 20 is statistically significant; 95% confident that the increase in mean score on the WHO-5 is between 9.0 and 31.5 </w:t>
      </w:r>
    </w:p>
    <w:p w:rsidR="0015130D" w:rsidRDefault="0015130D" w:rsidP="007D2709">
      <w:pPr>
        <w:spacing w:line="276" w:lineRule="auto"/>
      </w:pPr>
    </w:p>
    <w:p w:rsidR="001C0A71" w:rsidRDefault="001C0A71" w:rsidP="007D2709">
      <w:pPr>
        <w:spacing w:line="276" w:lineRule="auto"/>
        <w:jc w:val="center"/>
      </w:pPr>
      <w:r>
        <w:rPr>
          <w:noProof/>
          <w:lang w:eastAsia="en-AU"/>
        </w:rPr>
        <w:drawing>
          <wp:inline distT="0" distB="0" distL="0" distR="0" wp14:anchorId="3699F965" wp14:editId="6C569821">
            <wp:extent cx="3562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E2398" w:rsidRDefault="00CE2398" w:rsidP="007D2709">
      <w:pPr>
        <w:spacing w:line="276" w:lineRule="auto"/>
      </w:pPr>
    </w:p>
    <w:p w:rsidR="00700685" w:rsidRDefault="00700685">
      <w:pPr>
        <w:spacing w:after="0"/>
        <w:rPr>
          <w:b/>
          <w:sz w:val="32"/>
        </w:rPr>
      </w:pPr>
      <w:r>
        <w:rPr>
          <w:b/>
          <w:sz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016"/>
      </w:tblGrid>
      <w:tr w:rsidR="007D2709" w:rsidRPr="007D2709" w:rsidTr="007D2709">
        <w:tc>
          <w:tcPr>
            <w:tcW w:w="9016" w:type="dxa"/>
            <w:shd w:val="clear" w:color="auto" w:fill="9BBB59" w:themeFill="accent3"/>
          </w:tcPr>
          <w:p w:rsidR="007D2709" w:rsidRPr="007D2709" w:rsidRDefault="007D2709" w:rsidP="0088759F">
            <w:pPr>
              <w:spacing w:after="0" w:line="276" w:lineRule="auto"/>
              <w:rPr>
                <w:b/>
                <w:color w:val="FFFFFF" w:themeColor="background1"/>
                <w:sz w:val="32"/>
              </w:rPr>
            </w:pPr>
            <w:r>
              <w:rPr>
                <w:b/>
                <w:color w:val="FFFFFF" w:themeColor="background1"/>
                <w:sz w:val="32"/>
              </w:rPr>
              <w:lastRenderedPageBreak/>
              <w:t>Healthy Behaviours</w:t>
            </w:r>
          </w:p>
        </w:tc>
      </w:tr>
    </w:tbl>
    <w:p w:rsidR="007B0F85" w:rsidRDefault="00C3103E" w:rsidP="007D2709">
      <w:pPr>
        <w:spacing w:before="120" w:line="276" w:lineRule="auto"/>
      </w:pPr>
      <w:r>
        <w:t xml:space="preserve">We asked </w:t>
      </w:r>
      <w:r w:rsidR="007B0F85">
        <w:t xml:space="preserve">people about their how much exercise they do, and about their vegetable and fruit consumption. </w:t>
      </w:r>
      <w:r w:rsidR="009B0928">
        <w:t>Below are several summary graphs. (Entry n=36, Exit n=19)</w:t>
      </w:r>
    </w:p>
    <w:p w:rsidR="007B0F85" w:rsidRDefault="007B0F85" w:rsidP="007D2709">
      <w:pPr>
        <w:spacing w:before="120" w:line="276" w:lineRule="auto"/>
      </w:pPr>
      <w:r w:rsidRPr="007B0F85">
        <w:rPr>
          <w:noProof/>
          <w:shd w:val="clear" w:color="auto" w:fill="9BBB59" w:themeFill="accent3"/>
          <w:lang w:eastAsia="en-AU"/>
        </w:rPr>
        <w:drawing>
          <wp:inline distT="0" distB="0" distL="0" distR="0" wp14:anchorId="58ED9FFF" wp14:editId="7ED98C8D">
            <wp:extent cx="5688000" cy="2700000"/>
            <wp:effectExtent l="0" t="0" r="825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0928" w:rsidRDefault="009B0928" w:rsidP="007D2709">
      <w:pPr>
        <w:spacing w:before="120" w:line="276" w:lineRule="auto"/>
      </w:pPr>
      <w:r w:rsidRPr="002A1E95">
        <w:rPr>
          <w:noProof/>
          <w:shd w:val="clear" w:color="auto" w:fill="BFBFBF" w:themeFill="background1" w:themeFillShade="BF"/>
          <w:lang w:eastAsia="en-AU"/>
        </w:rPr>
        <w:drawing>
          <wp:inline distT="0" distB="0" distL="0" distR="0" wp14:anchorId="2C7DD654" wp14:editId="0E1EEBE7">
            <wp:extent cx="5688000" cy="2700000"/>
            <wp:effectExtent l="0" t="0" r="825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0685" w:rsidRDefault="009B0928" w:rsidP="007D2709">
      <w:pPr>
        <w:spacing w:before="120" w:line="276" w:lineRule="auto"/>
        <w:sectPr w:rsidR="00700685" w:rsidSect="002A1E95">
          <w:pgSz w:w="11906" w:h="16838"/>
          <w:pgMar w:top="1134" w:right="1440" w:bottom="567" w:left="1440" w:header="708" w:footer="708" w:gutter="0"/>
          <w:cols w:space="708"/>
          <w:docGrid w:linePitch="360"/>
        </w:sectPr>
      </w:pPr>
      <w:r>
        <w:rPr>
          <w:noProof/>
          <w:lang w:eastAsia="en-AU"/>
        </w:rPr>
        <w:drawing>
          <wp:inline distT="0" distB="0" distL="0" distR="0" wp14:anchorId="1C654DC8" wp14:editId="4002C66C">
            <wp:extent cx="5688000" cy="2699385"/>
            <wp:effectExtent l="0" t="0" r="8255" b="57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016"/>
      </w:tblGrid>
      <w:tr w:rsidR="00700685" w:rsidRPr="007D2709" w:rsidTr="0088759F">
        <w:tc>
          <w:tcPr>
            <w:tcW w:w="9016" w:type="dxa"/>
            <w:shd w:val="clear" w:color="auto" w:fill="C0504D" w:themeFill="accent2"/>
          </w:tcPr>
          <w:p w:rsidR="00700685" w:rsidRPr="007D2709" w:rsidRDefault="00700685" w:rsidP="0088759F">
            <w:pPr>
              <w:spacing w:after="0" w:line="276" w:lineRule="auto"/>
              <w:rPr>
                <w:b/>
                <w:color w:val="FFFFFF" w:themeColor="background1"/>
                <w:sz w:val="32"/>
              </w:rPr>
            </w:pPr>
            <w:r>
              <w:rPr>
                <w:b/>
                <w:color w:val="FFFFFF" w:themeColor="background1"/>
                <w:sz w:val="32"/>
              </w:rPr>
              <w:lastRenderedPageBreak/>
              <w:t>Health Literacy</w:t>
            </w:r>
          </w:p>
        </w:tc>
      </w:tr>
    </w:tbl>
    <w:p w:rsidR="00700685" w:rsidRDefault="00700685" w:rsidP="00700685">
      <w:pPr>
        <w:spacing w:before="120" w:line="276" w:lineRule="auto"/>
      </w:pPr>
      <w:r>
        <w:t>We asked people 5 questions from the Health Literacy Questionnaire (HLQ) that was developed by Deakin University (Osborne et al 2013). The HLQ is a 44-item questionnaire which can be grouped into 9 indicators of health literacy exploring how people attempt to engage in understanding, accessing and using health information and health services. We asked questions under the indicator ‘Managing your health’, as we thought this indicator was most in line with the aims of the program.   As part of this indicator, people are given an average score. The range of scores can be between 1 and 4. The higher the score, the higher the health literacy. Another way to look at the score is if the average score is below 3, it is an identified area of need, and a score above 3 indicates a strength.</w:t>
      </w:r>
    </w:p>
    <w:p w:rsidR="00700685" w:rsidRDefault="00700685" w:rsidP="00700685">
      <w:pPr>
        <w:spacing w:line="276" w:lineRule="auto"/>
      </w:pPr>
      <w:r>
        <w:t xml:space="preserve">There were 20 people in program who completed the HLQ questions when they entered and exited the program. There was an increase in the ‘Managing your health’ indicators scores from entry (2.6) to exit (3.2). The increase in mean scores of 0.6 is statistically significant; 95% confident that the increase in mean score on this indicator is between 0.3 and 0.9 </w:t>
      </w:r>
    </w:p>
    <w:p w:rsidR="00700685" w:rsidRDefault="00700685" w:rsidP="00700685">
      <w:pPr>
        <w:spacing w:line="276" w:lineRule="auto"/>
        <w:jc w:val="center"/>
      </w:pPr>
      <w:r>
        <w:rPr>
          <w:noProof/>
          <w:lang w:eastAsia="en-AU"/>
        </w:rPr>
        <w:drawing>
          <wp:inline distT="0" distB="0" distL="0" distR="0" wp14:anchorId="2DB7A023" wp14:editId="75581F5A">
            <wp:extent cx="3448050" cy="25431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BACC6" w:themeFill="accent5"/>
        <w:tblLook w:val="04A0" w:firstRow="1" w:lastRow="0" w:firstColumn="1" w:lastColumn="0" w:noHBand="0" w:noVBand="1"/>
      </w:tblPr>
      <w:tblGrid>
        <w:gridCol w:w="9016"/>
      </w:tblGrid>
      <w:tr w:rsidR="00075C9F" w:rsidRPr="007D2709" w:rsidTr="00075C9F">
        <w:tc>
          <w:tcPr>
            <w:tcW w:w="9016" w:type="dxa"/>
            <w:shd w:val="clear" w:color="auto" w:fill="F79646" w:themeFill="accent6"/>
          </w:tcPr>
          <w:p w:rsidR="00075C9F" w:rsidRPr="007D2709" w:rsidRDefault="00075C9F" w:rsidP="0088759F">
            <w:pPr>
              <w:spacing w:after="0" w:line="276" w:lineRule="auto"/>
              <w:rPr>
                <w:b/>
                <w:color w:val="FFFFFF" w:themeColor="background1"/>
                <w:sz w:val="32"/>
              </w:rPr>
            </w:pPr>
            <w:r>
              <w:rPr>
                <w:b/>
                <w:color w:val="FFFFFF" w:themeColor="background1"/>
                <w:sz w:val="32"/>
              </w:rPr>
              <w:t>Health Goals</w:t>
            </w:r>
          </w:p>
        </w:tc>
      </w:tr>
    </w:tbl>
    <w:p w:rsidR="00D47189" w:rsidRDefault="00D47189" w:rsidP="007D2709">
      <w:pPr>
        <w:spacing w:before="120" w:line="276" w:lineRule="auto"/>
      </w:pPr>
      <w:r>
        <w:t xml:space="preserve">When we asked people to identify their primary health goal for the program the most common goal was weight loss, followed by increasing activity levels and eating healthier. </w:t>
      </w:r>
    </w:p>
    <w:p w:rsidR="009B0928" w:rsidRDefault="00D47189" w:rsidP="007D2709">
      <w:pPr>
        <w:spacing w:before="120" w:line="276" w:lineRule="auto"/>
      </w:pPr>
      <w:r>
        <w:t>W</w:t>
      </w:r>
      <w:r w:rsidR="00075C9F">
        <w:t>e asked people to describe their progress towards their health goal and how helpful they found the sessions with the coach:</w:t>
      </w:r>
    </w:p>
    <w:p w:rsidR="00075C9F" w:rsidRDefault="00075C9F" w:rsidP="00075C9F">
      <w:pPr>
        <w:spacing w:before="40" w:after="40"/>
        <w:rPr>
          <w:b/>
        </w:rPr>
        <w:sectPr w:rsidR="00075C9F" w:rsidSect="002A1E95">
          <w:pgSz w:w="11906" w:h="16838"/>
          <w:pgMar w:top="1134" w:right="1440" w:bottom="567" w:left="1440" w:header="708" w:footer="708" w:gutter="0"/>
          <w:cols w:space="708"/>
          <w:docGrid w:linePitch="360"/>
        </w:sectPr>
      </w:pPr>
    </w:p>
    <w:tbl>
      <w:tblPr>
        <w:tblStyle w:val="TableGrid"/>
        <w:tblW w:w="0" w:type="auto"/>
        <w:tblLook w:val="04A0" w:firstRow="1" w:lastRow="0" w:firstColumn="1" w:lastColumn="0" w:noHBand="0" w:noVBand="1"/>
      </w:tblPr>
      <w:tblGrid>
        <w:gridCol w:w="2689"/>
        <w:gridCol w:w="850"/>
      </w:tblGrid>
      <w:tr w:rsidR="00075C9F" w:rsidTr="00805416">
        <w:tc>
          <w:tcPr>
            <w:tcW w:w="3539" w:type="dxa"/>
            <w:gridSpan w:val="2"/>
          </w:tcPr>
          <w:p w:rsidR="00075C9F" w:rsidRDefault="00075C9F" w:rsidP="00075C9F">
            <w:pPr>
              <w:spacing w:before="40" w:after="40"/>
            </w:pPr>
            <w:r>
              <w:rPr>
                <w:b/>
              </w:rPr>
              <w:t>Progress towards goal</w:t>
            </w:r>
          </w:p>
        </w:tc>
      </w:tr>
      <w:tr w:rsidR="00075C9F" w:rsidTr="00075C9F">
        <w:tc>
          <w:tcPr>
            <w:tcW w:w="2689" w:type="dxa"/>
          </w:tcPr>
          <w:p w:rsidR="00075C9F" w:rsidRPr="00075C9F" w:rsidRDefault="00075C9F" w:rsidP="00075C9F">
            <w:pPr>
              <w:spacing w:before="40" w:after="40"/>
              <w:rPr>
                <w:b/>
              </w:rPr>
            </w:pPr>
            <w:r w:rsidRPr="00075C9F">
              <w:rPr>
                <w:b/>
              </w:rPr>
              <w:t>Much more than expected</w:t>
            </w:r>
          </w:p>
        </w:tc>
        <w:tc>
          <w:tcPr>
            <w:tcW w:w="850" w:type="dxa"/>
          </w:tcPr>
          <w:p w:rsidR="00075C9F" w:rsidRDefault="00075C9F" w:rsidP="00075C9F">
            <w:pPr>
              <w:spacing w:before="40" w:after="40"/>
            </w:pPr>
            <w:r>
              <w:t>20%</w:t>
            </w:r>
          </w:p>
        </w:tc>
      </w:tr>
      <w:tr w:rsidR="00075C9F" w:rsidTr="00075C9F">
        <w:tc>
          <w:tcPr>
            <w:tcW w:w="2689" w:type="dxa"/>
          </w:tcPr>
          <w:p w:rsidR="00075C9F" w:rsidRPr="00075C9F" w:rsidRDefault="00075C9F" w:rsidP="00075C9F">
            <w:pPr>
              <w:spacing w:before="40" w:after="40"/>
              <w:rPr>
                <w:b/>
              </w:rPr>
            </w:pPr>
            <w:r w:rsidRPr="00075C9F">
              <w:rPr>
                <w:b/>
              </w:rPr>
              <w:t>More than expected</w:t>
            </w:r>
          </w:p>
        </w:tc>
        <w:tc>
          <w:tcPr>
            <w:tcW w:w="850" w:type="dxa"/>
          </w:tcPr>
          <w:p w:rsidR="00075C9F" w:rsidRDefault="00075C9F" w:rsidP="00075C9F">
            <w:pPr>
              <w:spacing w:before="40" w:after="40"/>
            </w:pPr>
            <w:r>
              <w:t>35%</w:t>
            </w:r>
          </w:p>
        </w:tc>
      </w:tr>
      <w:tr w:rsidR="00075C9F" w:rsidTr="00075C9F">
        <w:tc>
          <w:tcPr>
            <w:tcW w:w="2689" w:type="dxa"/>
          </w:tcPr>
          <w:p w:rsidR="00075C9F" w:rsidRPr="00075C9F" w:rsidRDefault="00075C9F" w:rsidP="00075C9F">
            <w:pPr>
              <w:spacing w:before="40" w:after="40"/>
              <w:rPr>
                <w:b/>
              </w:rPr>
            </w:pPr>
            <w:r w:rsidRPr="00075C9F">
              <w:rPr>
                <w:b/>
              </w:rPr>
              <w:t>Expected outcomes</w:t>
            </w:r>
          </w:p>
        </w:tc>
        <w:tc>
          <w:tcPr>
            <w:tcW w:w="850" w:type="dxa"/>
          </w:tcPr>
          <w:p w:rsidR="00075C9F" w:rsidRDefault="00075C9F" w:rsidP="00075C9F">
            <w:pPr>
              <w:spacing w:before="40" w:after="40"/>
            </w:pPr>
            <w:r>
              <w:t>35%</w:t>
            </w:r>
          </w:p>
        </w:tc>
      </w:tr>
      <w:tr w:rsidR="00075C9F" w:rsidTr="00075C9F">
        <w:tc>
          <w:tcPr>
            <w:tcW w:w="2689" w:type="dxa"/>
          </w:tcPr>
          <w:p w:rsidR="00075C9F" w:rsidRPr="00075C9F" w:rsidRDefault="00075C9F" w:rsidP="00075C9F">
            <w:pPr>
              <w:spacing w:before="40" w:after="40"/>
              <w:rPr>
                <w:b/>
              </w:rPr>
            </w:pPr>
            <w:r w:rsidRPr="00075C9F">
              <w:rPr>
                <w:b/>
              </w:rPr>
              <w:t>Less than expected</w:t>
            </w:r>
          </w:p>
        </w:tc>
        <w:tc>
          <w:tcPr>
            <w:tcW w:w="850" w:type="dxa"/>
          </w:tcPr>
          <w:p w:rsidR="00075C9F" w:rsidRDefault="00075C9F" w:rsidP="00075C9F">
            <w:pPr>
              <w:spacing w:before="40" w:after="40"/>
            </w:pPr>
            <w:r>
              <w:t>0%</w:t>
            </w:r>
          </w:p>
        </w:tc>
      </w:tr>
      <w:tr w:rsidR="00075C9F" w:rsidTr="00075C9F">
        <w:tc>
          <w:tcPr>
            <w:tcW w:w="2689" w:type="dxa"/>
          </w:tcPr>
          <w:p w:rsidR="00075C9F" w:rsidRPr="00075C9F" w:rsidRDefault="00075C9F" w:rsidP="00075C9F">
            <w:pPr>
              <w:spacing w:before="40" w:after="40"/>
              <w:rPr>
                <w:b/>
              </w:rPr>
            </w:pPr>
            <w:r w:rsidRPr="00075C9F">
              <w:rPr>
                <w:b/>
              </w:rPr>
              <w:t>Much less than expected</w:t>
            </w:r>
          </w:p>
        </w:tc>
        <w:tc>
          <w:tcPr>
            <w:tcW w:w="850" w:type="dxa"/>
          </w:tcPr>
          <w:p w:rsidR="00075C9F" w:rsidRDefault="00075C9F" w:rsidP="00075C9F">
            <w:pPr>
              <w:spacing w:before="40" w:after="40"/>
            </w:pPr>
            <w:r>
              <w:t>10%</w:t>
            </w:r>
          </w:p>
        </w:tc>
      </w:tr>
      <w:tr w:rsidR="00075C9F" w:rsidTr="0088759F">
        <w:tc>
          <w:tcPr>
            <w:tcW w:w="3539" w:type="dxa"/>
            <w:gridSpan w:val="2"/>
          </w:tcPr>
          <w:p w:rsidR="00075C9F" w:rsidRDefault="00075C9F" w:rsidP="0088759F">
            <w:pPr>
              <w:spacing w:before="40" w:after="40"/>
            </w:pPr>
            <w:r>
              <w:rPr>
                <w:b/>
              </w:rPr>
              <w:t>Helpfulness of sessions</w:t>
            </w:r>
          </w:p>
        </w:tc>
      </w:tr>
      <w:tr w:rsidR="00075C9F" w:rsidTr="0088759F">
        <w:tc>
          <w:tcPr>
            <w:tcW w:w="2689" w:type="dxa"/>
          </w:tcPr>
          <w:p w:rsidR="00075C9F" w:rsidRPr="00075C9F" w:rsidRDefault="00075C9F" w:rsidP="0088759F">
            <w:pPr>
              <w:spacing w:before="40" w:after="40"/>
              <w:rPr>
                <w:b/>
              </w:rPr>
            </w:pPr>
            <w:r>
              <w:rPr>
                <w:b/>
              </w:rPr>
              <w:t>Very helpful</w:t>
            </w:r>
          </w:p>
        </w:tc>
        <w:tc>
          <w:tcPr>
            <w:tcW w:w="850" w:type="dxa"/>
          </w:tcPr>
          <w:p w:rsidR="00075C9F" w:rsidRDefault="00075C9F" w:rsidP="0088759F">
            <w:pPr>
              <w:spacing w:before="40" w:after="40"/>
            </w:pPr>
            <w:r>
              <w:t>85%</w:t>
            </w:r>
          </w:p>
        </w:tc>
      </w:tr>
      <w:tr w:rsidR="00075C9F" w:rsidTr="0088759F">
        <w:tc>
          <w:tcPr>
            <w:tcW w:w="2689" w:type="dxa"/>
          </w:tcPr>
          <w:p w:rsidR="00075C9F" w:rsidRPr="00075C9F" w:rsidRDefault="00075C9F" w:rsidP="0088759F">
            <w:pPr>
              <w:spacing w:before="40" w:after="40"/>
              <w:rPr>
                <w:b/>
              </w:rPr>
            </w:pPr>
            <w:r>
              <w:rPr>
                <w:b/>
              </w:rPr>
              <w:t>Moderately helpful</w:t>
            </w:r>
          </w:p>
        </w:tc>
        <w:tc>
          <w:tcPr>
            <w:tcW w:w="850" w:type="dxa"/>
          </w:tcPr>
          <w:p w:rsidR="00075C9F" w:rsidRDefault="00075C9F" w:rsidP="0088759F">
            <w:pPr>
              <w:spacing w:before="40" w:after="40"/>
            </w:pPr>
            <w:r>
              <w:t>15%</w:t>
            </w:r>
          </w:p>
        </w:tc>
      </w:tr>
      <w:tr w:rsidR="00075C9F" w:rsidTr="0088759F">
        <w:tc>
          <w:tcPr>
            <w:tcW w:w="2689" w:type="dxa"/>
          </w:tcPr>
          <w:p w:rsidR="00075C9F" w:rsidRPr="00075C9F" w:rsidRDefault="00075C9F" w:rsidP="0088759F">
            <w:pPr>
              <w:spacing w:before="40" w:after="40"/>
              <w:rPr>
                <w:b/>
              </w:rPr>
            </w:pPr>
            <w:r>
              <w:rPr>
                <w:b/>
              </w:rPr>
              <w:t>A little helpful</w:t>
            </w:r>
          </w:p>
        </w:tc>
        <w:tc>
          <w:tcPr>
            <w:tcW w:w="850" w:type="dxa"/>
          </w:tcPr>
          <w:p w:rsidR="00075C9F" w:rsidRDefault="00075C9F" w:rsidP="0088759F">
            <w:pPr>
              <w:spacing w:before="40" w:after="40"/>
            </w:pPr>
            <w:r>
              <w:t>0%</w:t>
            </w:r>
          </w:p>
        </w:tc>
      </w:tr>
      <w:tr w:rsidR="00075C9F" w:rsidTr="0088759F">
        <w:tc>
          <w:tcPr>
            <w:tcW w:w="2689" w:type="dxa"/>
          </w:tcPr>
          <w:p w:rsidR="00075C9F" w:rsidRPr="00075C9F" w:rsidRDefault="00075C9F" w:rsidP="0088759F">
            <w:pPr>
              <w:spacing w:before="40" w:after="40"/>
              <w:rPr>
                <w:b/>
              </w:rPr>
            </w:pPr>
            <w:r>
              <w:rPr>
                <w:b/>
              </w:rPr>
              <w:t>Not at all helpful</w:t>
            </w:r>
          </w:p>
        </w:tc>
        <w:tc>
          <w:tcPr>
            <w:tcW w:w="850" w:type="dxa"/>
          </w:tcPr>
          <w:p w:rsidR="00075C9F" w:rsidRDefault="00075C9F" w:rsidP="0088759F">
            <w:pPr>
              <w:spacing w:before="40" w:after="40"/>
            </w:pPr>
            <w:r>
              <w:t>0%</w:t>
            </w:r>
          </w:p>
        </w:tc>
      </w:tr>
    </w:tbl>
    <w:p w:rsidR="00075C9F" w:rsidRDefault="00075C9F" w:rsidP="007D2709">
      <w:pPr>
        <w:spacing w:before="120" w:line="276" w:lineRule="auto"/>
        <w:sectPr w:rsidR="00075C9F" w:rsidSect="00075C9F">
          <w:type w:val="continuous"/>
          <w:pgSz w:w="11906" w:h="16838"/>
          <w:pgMar w:top="1134" w:right="1440" w:bottom="567" w:left="1440" w:header="708" w:footer="708" w:gutter="0"/>
          <w:cols w:num="2" w:space="708"/>
          <w:docGrid w:linePitch="360"/>
        </w:sectPr>
      </w:pPr>
    </w:p>
    <w:p w:rsidR="00075C9F" w:rsidRDefault="00D47189" w:rsidP="007D2709">
      <w:pPr>
        <w:spacing w:before="120" w:line="276" w:lineRule="auto"/>
      </w:pPr>
      <w:r>
        <w:t xml:space="preserve">When we asked what benefits they experiences from working towards their health goal </w:t>
      </w:r>
      <w:r w:rsidR="0088394C">
        <w:t>some of what they highlighted included:</w:t>
      </w:r>
    </w:p>
    <w:p w:rsidR="0088394C" w:rsidRDefault="0088394C" w:rsidP="0088394C">
      <w:pPr>
        <w:pStyle w:val="ListParagraph"/>
        <w:numPr>
          <w:ilvl w:val="0"/>
          <w:numId w:val="2"/>
        </w:numPr>
        <w:spacing w:before="120" w:line="276" w:lineRule="auto"/>
        <w:sectPr w:rsidR="0088394C" w:rsidSect="00075C9F">
          <w:type w:val="continuous"/>
          <w:pgSz w:w="11906" w:h="16838"/>
          <w:pgMar w:top="1134" w:right="1440" w:bottom="567" w:left="1440" w:header="708" w:footer="708" w:gutter="0"/>
          <w:cols w:space="708"/>
          <w:docGrid w:linePitch="360"/>
        </w:sectPr>
      </w:pPr>
    </w:p>
    <w:p w:rsidR="0088394C" w:rsidRDefault="0088394C" w:rsidP="0088394C">
      <w:pPr>
        <w:pStyle w:val="ListParagraph"/>
        <w:numPr>
          <w:ilvl w:val="0"/>
          <w:numId w:val="2"/>
        </w:numPr>
        <w:spacing w:before="120" w:line="276" w:lineRule="auto"/>
      </w:pPr>
      <w:r>
        <w:t>Losing weight</w:t>
      </w:r>
    </w:p>
    <w:p w:rsidR="0088394C" w:rsidRDefault="0088394C" w:rsidP="0088394C">
      <w:pPr>
        <w:pStyle w:val="ListParagraph"/>
        <w:numPr>
          <w:ilvl w:val="0"/>
          <w:numId w:val="2"/>
        </w:numPr>
        <w:spacing w:before="120" w:line="276" w:lineRule="auto"/>
      </w:pPr>
      <w:r>
        <w:t>Having more energy</w:t>
      </w:r>
    </w:p>
    <w:p w:rsidR="0088394C" w:rsidRDefault="0088394C" w:rsidP="0088394C">
      <w:pPr>
        <w:pStyle w:val="ListParagraph"/>
        <w:numPr>
          <w:ilvl w:val="0"/>
          <w:numId w:val="2"/>
        </w:numPr>
        <w:spacing w:before="120" w:line="276" w:lineRule="auto"/>
      </w:pPr>
      <w:r>
        <w:t>Being more active</w:t>
      </w:r>
    </w:p>
    <w:p w:rsidR="0088394C" w:rsidRDefault="0088394C" w:rsidP="0088394C">
      <w:pPr>
        <w:pStyle w:val="ListParagraph"/>
        <w:numPr>
          <w:ilvl w:val="0"/>
          <w:numId w:val="2"/>
        </w:numPr>
        <w:spacing w:before="120" w:line="276" w:lineRule="auto"/>
      </w:pPr>
      <w:r>
        <w:t>Feeling better</w:t>
      </w:r>
    </w:p>
    <w:p w:rsidR="0088394C" w:rsidRDefault="0088394C" w:rsidP="0088394C">
      <w:pPr>
        <w:pStyle w:val="ListParagraph"/>
        <w:numPr>
          <w:ilvl w:val="0"/>
          <w:numId w:val="2"/>
        </w:numPr>
        <w:spacing w:before="120" w:line="276" w:lineRule="auto"/>
      </w:pPr>
      <w:r>
        <w:t>Learning new coping strategies</w:t>
      </w:r>
    </w:p>
    <w:p w:rsidR="0088394C" w:rsidRDefault="0088394C" w:rsidP="0088394C">
      <w:pPr>
        <w:pStyle w:val="ListParagraph"/>
        <w:numPr>
          <w:ilvl w:val="0"/>
          <w:numId w:val="2"/>
        </w:numPr>
        <w:spacing w:before="120" w:line="276" w:lineRule="auto"/>
      </w:pPr>
      <w:r>
        <w:t>Having more focus and clarity</w:t>
      </w:r>
    </w:p>
    <w:p w:rsidR="0088394C" w:rsidRDefault="0088394C" w:rsidP="007D2709">
      <w:pPr>
        <w:spacing w:before="120" w:line="276" w:lineRule="auto"/>
        <w:sectPr w:rsidR="0088394C" w:rsidSect="0088394C">
          <w:type w:val="continuous"/>
          <w:pgSz w:w="11906" w:h="16838"/>
          <w:pgMar w:top="1134" w:right="1440" w:bottom="567" w:left="1440" w:header="708" w:footer="708" w:gutter="0"/>
          <w:cols w:num="2" w:space="708"/>
          <w:docGrid w:linePitch="360"/>
        </w:sectPr>
      </w:pPr>
    </w:p>
    <w:p w:rsidR="00075C9F" w:rsidRDefault="00075C9F" w:rsidP="007D2709">
      <w:pPr>
        <w:spacing w:before="120" w:line="276" w:lineRule="auto"/>
      </w:pPr>
    </w:p>
    <w:sectPr w:rsidR="00075C9F" w:rsidSect="00075C9F">
      <w:type w:val="continuous"/>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A1B94"/>
    <w:multiLevelType w:val="hybridMultilevel"/>
    <w:tmpl w:val="5A108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0C4B74"/>
    <w:multiLevelType w:val="hybridMultilevel"/>
    <w:tmpl w:val="E4BEEDA6"/>
    <w:lvl w:ilvl="0" w:tplc="76146AA8">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BC"/>
    <w:rsid w:val="00075C9F"/>
    <w:rsid w:val="00083D5E"/>
    <w:rsid w:val="000E1F61"/>
    <w:rsid w:val="0015130D"/>
    <w:rsid w:val="001C0A71"/>
    <w:rsid w:val="002A1E95"/>
    <w:rsid w:val="003E7B66"/>
    <w:rsid w:val="004D2D19"/>
    <w:rsid w:val="004E61D2"/>
    <w:rsid w:val="005F73A8"/>
    <w:rsid w:val="00700685"/>
    <w:rsid w:val="007A410C"/>
    <w:rsid w:val="007B0F85"/>
    <w:rsid w:val="007D2709"/>
    <w:rsid w:val="007F5649"/>
    <w:rsid w:val="00817ADF"/>
    <w:rsid w:val="0088394C"/>
    <w:rsid w:val="009B0928"/>
    <w:rsid w:val="00A1177D"/>
    <w:rsid w:val="00A220BC"/>
    <w:rsid w:val="00C3103E"/>
    <w:rsid w:val="00CB68D3"/>
    <w:rsid w:val="00CE2398"/>
    <w:rsid w:val="00D47189"/>
    <w:rsid w:val="00DB70AA"/>
    <w:rsid w:val="00F16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F380-1EB0-4C6C-9BD9-5F988A6C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DF"/>
    <w:pPr>
      <w:spacing w:after="80"/>
    </w:pPr>
    <w:rPr>
      <w:sz w:val="22"/>
      <w:szCs w:val="22"/>
    </w:rPr>
  </w:style>
  <w:style w:type="paragraph" w:styleId="Heading1">
    <w:name w:val="heading 1"/>
    <w:basedOn w:val="Normal"/>
    <w:next w:val="Normal"/>
    <w:link w:val="Heading1Char"/>
    <w:autoRedefine/>
    <w:uiPriority w:val="9"/>
    <w:qFormat/>
    <w:rsid w:val="00817ADF"/>
    <w:pPr>
      <w:pBdr>
        <w:bottom w:val="single" w:sz="2" w:space="1" w:color="EEA420"/>
      </w:pBdr>
      <w:spacing w:before="360" w:after="240"/>
      <w:outlineLvl w:val="0"/>
    </w:pPr>
    <w:rPr>
      <w:rFonts w:ascii="Calibri Light" w:eastAsia="Calibri" w:hAnsi="Calibri Light" w:cs="Calibri"/>
      <w:bCs/>
      <w:color w:val="333333"/>
      <w:spacing w:val="15"/>
      <w:sz w:val="40"/>
    </w:rPr>
  </w:style>
  <w:style w:type="paragraph" w:styleId="Heading2">
    <w:name w:val="heading 2"/>
    <w:basedOn w:val="Heading1"/>
    <w:next w:val="Normal"/>
    <w:link w:val="Heading2Char"/>
    <w:autoRedefine/>
    <w:uiPriority w:val="9"/>
    <w:semiHidden/>
    <w:unhideWhenUsed/>
    <w:qFormat/>
    <w:rsid w:val="00817ADF"/>
    <w:pPr>
      <w:keepNext/>
      <w:pBdr>
        <w:bottom w:val="none" w:sz="0" w:space="0" w:color="auto"/>
      </w:pBdr>
      <w:spacing w:after="120"/>
      <w:outlineLvl w:val="1"/>
    </w:pPr>
    <w:rPr>
      <w:rFonts w:eastAsiaTheme="majorEastAsia" w:cstheme="majorBidi"/>
      <w:bCs w:val="0"/>
      <w:iCs/>
      <w:sz w:val="32"/>
      <w:szCs w:val="28"/>
    </w:rPr>
  </w:style>
  <w:style w:type="paragraph" w:styleId="Heading3">
    <w:name w:val="heading 3"/>
    <w:basedOn w:val="Heading1"/>
    <w:next w:val="Normal"/>
    <w:link w:val="Heading3Char"/>
    <w:autoRedefine/>
    <w:uiPriority w:val="9"/>
    <w:semiHidden/>
    <w:unhideWhenUsed/>
    <w:qFormat/>
    <w:rsid w:val="00817ADF"/>
    <w:pPr>
      <w:pBdr>
        <w:bottom w:val="none" w:sz="0" w:space="0" w:color="auto"/>
      </w:pBdr>
      <w:spacing w:after="120"/>
      <w:outlineLvl w:val="2"/>
    </w:pPr>
    <w:rPr>
      <w:rFonts w:asciiTheme="minorHAnsi" w:hAnsiTheme="minorHAnsi"/>
      <w:spacing w:val="0"/>
      <w:sz w:val="28"/>
    </w:rPr>
  </w:style>
  <w:style w:type="paragraph" w:styleId="Heading4">
    <w:name w:val="heading 4"/>
    <w:basedOn w:val="Heading3"/>
    <w:next w:val="Normal"/>
    <w:link w:val="Heading4Char"/>
    <w:autoRedefine/>
    <w:uiPriority w:val="9"/>
    <w:semiHidden/>
    <w:unhideWhenUsed/>
    <w:qFormat/>
    <w:rsid w:val="00817ADF"/>
    <w:pPr>
      <w:spacing w:before="180"/>
      <w:outlineLvl w:val="3"/>
    </w:pPr>
    <w:rPr>
      <w:rFonts w:cs="Times New Roman"/>
      <w:b/>
      <w:sz w:val="22"/>
      <w:lang w:bidi="en-US"/>
    </w:rPr>
  </w:style>
  <w:style w:type="paragraph" w:styleId="Heading5">
    <w:name w:val="heading 5"/>
    <w:basedOn w:val="Heading3"/>
    <w:next w:val="Normal"/>
    <w:link w:val="Heading5Char"/>
    <w:autoRedefine/>
    <w:uiPriority w:val="9"/>
    <w:semiHidden/>
    <w:unhideWhenUsed/>
    <w:qFormat/>
    <w:rsid w:val="00817ADF"/>
    <w:pPr>
      <w:spacing w:before="180" w:after="0"/>
      <w:outlineLvl w:val="4"/>
    </w:pPr>
    <w:rPr>
      <w:color w:val="auto"/>
      <w:sz w:val="22"/>
      <w:szCs w:val="26"/>
      <w:lang w:bidi="en-US"/>
    </w:rPr>
  </w:style>
  <w:style w:type="paragraph" w:styleId="Heading8">
    <w:name w:val="heading 8"/>
    <w:basedOn w:val="Normal"/>
    <w:next w:val="Normal"/>
    <w:link w:val="Heading8Char"/>
    <w:uiPriority w:val="9"/>
    <w:semiHidden/>
    <w:unhideWhenUsed/>
    <w:qFormat/>
    <w:rsid w:val="00817ADF"/>
    <w:pPr>
      <w:spacing w:before="300" w:line="276" w:lineRule="auto"/>
      <w:outlineLvl w:val="7"/>
    </w:pPr>
    <w:rPr>
      <w:rFonts w:eastAsia="Calibri"/>
      <w:caps/>
      <w:spacing w:val="10"/>
      <w:sz w:val="18"/>
      <w:szCs w:val="18"/>
    </w:rPr>
  </w:style>
  <w:style w:type="paragraph" w:styleId="Heading9">
    <w:name w:val="heading 9"/>
    <w:basedOn w:val="Normal"/>
    <w:next w:val="Normal"/>
    <w:link w:val="Heading9Char"/>
    <w:uiPriority w:val="9"/>
    <w:semiHidden/>
    <w:unhideWhenUsed/>
    <w:qFormat/>
    <w:rsid w:val="00817ADF"/>
    <w:pPr>
      <w:spacing w:before="300" w:line="276" w:lineRule="auto"/>
      <w:outlineLvl w:val="8"/>
    </w:pPr>
    <w:rPr>
      <w:rFonts w:eastAsia="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ADF"/>
    <w:rPr>
      <w:rFonts w:ascii="Calibri Light" w:hAnsi="Calibri Light" w:cs="Calibri"/>
      <w:bCs/>
      <w:color w:val="333333"/>
      <w:spacing w:val="15"/>
      <w:sz w:val="40"/>
      <w:szCs w:val="22"/>
    </w:rPr>
  </w:style>
  <w:style w:type="character" w:customStyle="1" w:styleId="Heading2Char">
    <w:name w:val="Heading 2 Char"/>
    <w:link w:val="Heading2"/>
    <w:uiPriority w:val="9"/>
    <w:semiHidden/>
    <w:rsid w:val="00817ADF"/>
    <w:rPr>
      <w:rFonts w:ascii="Calibri Light" w:eastAsiaTheme="majorEastAsia" w:hAnsi="Calibri Light" w:cstheme="majorBidi"/>
      <w:iCs/>
      <w:color w:val="333333"/>
      <w:spacing w:val="15"/>
      <w:sz w:val="32"/>
      <w:szCs w:val="28"/>
    </w:rPr>
  </w:style>
  <w:style w:type="character" w:customStyle="1" w:styleId="Heading3Char">
    <w:name w:val="Heading 3 Char"/>
    <w:link w:val="Heading3"/>
    <w:uiPriority w:val="9"/>
    <w:semiHidden/>
    <w:rsid w:val="00817ADF"/>
    <w:rPr>
      <w:rFonts w:asciiTheme="minorHAnsi" w:hAnsiTheme="minorHAnsi" w:cs="Calibri"/>
      <w:bCs/>
      <w:color w:val="333333"/>
      <w:sz w:val="28"/>
      <w:szCs w:val="22"/>
    </w:rPr>
  </w:style>
  <w:style w:type="character" w:customStyle="1" w:styleId="Heading4Char">
    <w:name w:val="Heading 4 Char"/>
    <w:link w:val="Heading4"/>
    <w:uiPriority w:val="9"/>
    <w:semiHidden/>
    <w:rsid w:val="00817ADF"/>
    <w:rPr>
      <w:rFonts w:asciiTheme="minorHAnsi" w:hAnsiTheme="minorHAnsi"/>
      <w:b/>
      <w:bCs/>
      <w:color w:val="333333"/>
      <w:sz w:val="22"/>
      <w:szCs w:val="22"/>
      <w:lang w:bidi="en-US"/>
    </w:rPr>
  </w:style>
  <w:style w:type="character" w:customStyle="1" w:styleId="Heading5Char">
    <w:name w:val="Heading 5 Char"/>
    <w:link w:val="Heading5"/>
    <w:uiPriority w:val="9"/>
    <w:semiHidden/>
    <w:rsid w:val="00817ADF"/>
    <w:rPr>
      <w:rFonts w:asciiTheme="minorHAnsi" w:hAnsiTheme="minorHAnsi" w:cs="Calibri"/>
      <w:bCs/>
      <w:sz w:val="22"/>
      <w:szCs w:val="26"/>
      <w:lang w:bidi="en-US"/>
    </w:rPr>
  </w:style>
  <w:style w:type="character" w:customStyle="1" w:styleId="Heading8Char">
    <w:name w:val="Heading 8 Char"/>
    <w:link w:val="Heading8"/>
    <w:uiPriority w:val="9"/>
    <w:semiHidden/>
    <w:rsid w:val="00817ADF"/>
    <w:rPr>
      <w:caps/>
      <w:spacing w:val="10"/>
      <w:sz w:val="18"/>
      <w:szCs w:val="18"/>
    </w:rPr>
  </w:style>
  <w:style w:type="character" w:customStyle="1" w:styleId="Heading9Char">
    <w:name w:val="Heading 9 Char"/>
    <w:link w:val="Heading9"/>
    <w:uiPriority w:val="9"/>
    <w:semiHidden/>
    <w:rsid w:val="00817ADF"/>
    <w:rPr>
      <w:i/>
      <w:caps/>
      <w:spacing w:val="10"/>
      <w:sz w:val="18"/>
      <w:szCs w:val="18"/>
    </w:rPr>
  </w:style>
  <w:style w:type="paragraph" w:styleId="Footer">
    <w:name w:val="footer"/>
    <w:basedOn w:val="Normal"/>
    <w:link w:val="FooterChar"/>
    <w:autoRedefine/>
    <w:uiPriority w:val="99"/>
    <w:semiHidden/>
    <w:unhideWhenUsed/>
    <w:qFormat/>
    <w:rsid w:val="00817ADF"/>
    <w:pPr>
      <w:tabs>
        <w:tab w:val="right" w:pos="7655"/>
      </w:tabs>
    </w:pPr>
    <w:rPr>
      <w:rFonts w:eastAsia="Calibri"/>
      <w:noProof/>
      <w:color w:val="7F7F7F"/>
      <w:sz w:val="18"/>
      <w:szCs w:val="20"/>
    </w:rPr>
  </w:style>
  <w:style w:type="character" w:customStyle="1" w:styleId="FooterChar">
    <w:name w:val="Footer Char"/>
    <w:link w:val="Footer"/>
    <w:uiPriority w:val="99"/>
    <w:semiHidden/>
    <w:rsid w:val="00817ADF"/>
    <w:rPr>
      <w:noProof/>
      <w:color w:val="7F7F7F"/>
      <w:sz w:val="18"/>
    </w:rPr>
  </w:style>
  <w:style w:type="paragraph" w:styleId="Caption">
    <w:name w:val="caption"/>
    <w:basedOn w:val="Normal"/>
    <w:next w:val="Normal"/>
    <w:link w:val="CaptionChar"/>
    <w:uiPriority w:val="35"/>
    <w:semiHidden/>
    <w:unhideWhenUsed/>
    <w:qFormat/>
    <w:rsid w:val="00817ADF"/>
    <w:pPr>
      <w:spacing w:line="276" w:lineRule="auto"/>
    </w:pPr>
    <w:rPr>
      <w:rFonts w:asciiTheme="minorHAnsi" w:eastAsia="Calibri" w:hAnsiTheme="minorHAnsi"/>
      <w:bCs/>
      <w:i/>
      <w:color w:val="808080"/>
      <w:sz w:val="16"/>
      <w:szCs w:val="16"/>
    </w:rPr>
  </w:style>
  <w:style w:type="character" w:customStyle="1" w:styleId="CaptionChar">
    <w:name w:val="Caption Char"/>
    <w:link w:val="Caption"/>
    <w:uiPriority w:val="35"/>
    <w:semiHidden/>
    <w:rsid w:val="00817ADF"/>
    <w:rPr>
      <w:rFonts w:asciiTheme="minorHAnsi" w:hAnsiTheme="minorHAnsi"/>
      <w:bCs/>
      <w:i/>
      <w:color w:val="808080"/>
      <w:sz w:val="16"/>
      <w:szCs w:val="16"/>
    </w:rPr>
  </w:style>
  <w:style w:type="paragraph" w:styleId="Title">
    <w:name w:val="Title"/>
    <w:basedOn w:val="Heading1"/>
    <w:next w:val="Normal"/>
    <w:link w:val="TitleChar"/>
    <w:autoRedefine/>
    <w:uiPriority w:val="10"/>
    <w:qFormat/>
    <w:rsid w:val="007D2709"/>
    <w:pPr>
      <w:pBdr>
        <w:bottom w:val="none" w:sz="0" w:space="0" w:color="auto"/>
      </w:pBdr>
      <w:spacing w:before="0" w:after="0" w:line="276" w:lineRule="auto"/>
    </w:pPr>
    <w:rPr>
      <w:sz w:val="48"/>
    </w:rPr>
  </w:style>
  <w:style w:type="character" w:customStyle="1" w:styleId="TitleChar">
    <w:name w:val="Title Char"/>
    <w:link w:val="Title"/>
    <w:uiPriority w:val="10"/>
    <w:rsid w:val="007D2709"/>
    <w:rPr>
      <w:rFonts w:ascii="Calibri Light" w:eastAsia="Calibri" w:hAnsi="Calibri Light" w:cs="Calibri"/>
      <w:bCs/>
      <w:color w:val="333333"/>
      <w:spacing w:val="15"/>
      <w:sz w:val="48"/>
      <w:szCs w:val="22"/>
    </w:rPr>
  </w:style>
  <w:style w:type="paragraph" w:styleId="Subtitle">
    <w:name w:val="Subtitle"/>
    <w:basedOn w:val="Normal"/>
    <w:next w:val="Normal"/>
    <w:link w:val="SubtitleChar"/>
    <w:autoRedefine/>
    <w:uiPriority w:val="11"/>
    <w:qFormat/>
    <w:rsid w:val="00817ADF"/>
    <w:pPr>
      <w:numPr>
        <w:ilvl w:val="1"/>
      </w:numPr>
    </w:pPr>
    <w:rPr>
      <w:rFonts w:ascii="Calibri Light" w:eastAsiaTheme="majorEastAsia" w:hAnsi="Calibri Light" w:cstheme="majorBidi"/>
      <w:iCs/>
      <w:color w:val="333333"/>
      <w:spacing w:val="15"/>
      <w:sz w:val="36"/>
      <w:szCs w:val="24"/>
    </w:rPr>
  </w:style>
  <w:style w:type="character" w:customStyle="1" w:styleId="SubtitleChar">
    <w:name w:val="Subtitle Char"/>
    <w:link w:val="Subtitle"/>
    <w:uiPriority w:val="11"/>
    <w:rsid w:val="00817ADF"/>
    <w:rPr>
      <w:rFonts w:ascii="Calibri Light" w:eastAsiaTheme="majorEastAsia" w:hAnsi="Calibri Light" w:cstheme="majorBidi"/>
      <w:iCs/>
      <w:color w:val="333333"/>
      <w:spacing w:val="15"/>
      <w:sz w:val="36"/>
      <w:szCs w:val="24"/>
    </w:rPr>
  </w:style>
  <w:style w:type="character" w:styleId="Hyperlink">
    <w:name w:val="Hyperlink"/>
    <w:uiPriority w:val="99"/>
    <w:semiHidden/>
    <w:unhideWhenUsed/>
    <w:qFormat/>
    <w:rsid w:val="00817ADF"/>
    <w:rPr>
      <w:b/>
      <w:color w:val="0070C0"/>
      <w:u w:val="none"/>
    </w:rPr>
  </w:style>
  <w:style w:type="character" w:styleId="Emphasis">
    <w:name w:val="Emphasis"/>
    <w:uiPriority w:val="20"/>
    <w:qFormat/>
    <w:rsid w:val="00817ADF"/>
    <w:rPr>
      <w:b/>
      <w:i w:val="0"/>
      <w:iCs/>
      <w:color w:val="333333"/>
    </w:rPr>
  </w:style>
  <w:style w:type="paragraph" w:styleId="NoSpacing">
    <w:name w:val="No Spacing"/>
    <w:uiPriority w:val="1"/>
    <w:qFormat/>
    <w:rsid w:val="00817ADF"/>
    <w:rPr>
      <w:color w:val="333333"/>
      <w:sz w:val="22"/>
    </w:rPr>
  </w:style>
  <w:style w:type="paragraph" w:styleId="ListParagraph">
    <w:name w:val="List Paragraph"/>
    <w:basedOn w:val="Normal"/>
    <w:uiPriority w:val="34"/>
    <w:qFormat/>
    <w:rsid w:val="00817ADF"/>
    <w:pPr>
      <w:ind w:left="720"/>
      <w:contextualSpacing/>
    </w:pPr>
  </w:style>
  <w:style w:type="character" w:styleId="SubtleEmphasis">
    <w:name w:val="Subtle Emphasis"/>
    <w:uiPriority w:val="19"/>
    <w:qFormat/>
    <w:rsid w:val="00817ADF"/>
    <w:rPr>
      <w:i/>
      <w:iCs/>
      <w:color w:val="333333"/>
    </w:rPr>
  </w:style>
  <w:style w:type="table" w:styleId="TableGrid">
    <w:name w:val="Table Grid"/>
    <w:basedOn w:val="TableNormal"/>
    <w:uiPriority w:val="59"/>
    <w:rsid w:val="007D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r>
              <a:rPr lang="en-AU" b="1">
                <a:solidFill>
                  <a:schemeClr val="tx2"/>
                </a:solidFill>
              </a:rPr>
              <a:t>Stastically</a:t>
            </a:r>
            <a:r>
              <a:rPr lang="en-AU" b="1" baseline="0">
                <a:solidFill>
                  <a:schemeClr val="tx2"/>
                </a:solidFill>
              </a:rPr>
              <a:t> significant i</a:t>
            </a:r>
            <a:r>
              <a:rPr lang="en-AU" b="1">
                <a:solidFill>
                  <a:schemeClr val="tx2"/>
                </a:solidFill>
              </a:rPr>
              <a:t>ncrease</a:t>
            </a:r>
            <a:r>
              <a:rPr lang="en-AU" b="1" baseline="0">
                <a:solidFill>
                  <a:schemeClr val="tx2"/>
                </a:solidFill>
              </a:rPr>
              <a:t> in wellbeing scores (WHO-5)</a:t>
            </a:r>
            <a:endParaRPr lang="en-AU" b="1">
              <a:solidFill>
                <a:schemeClr val="tx2"/>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'WHO-5'!$A$2:$A$3</c:f>
              <c:strCache>
                <c:ptCount val="2"/>
                <c:pt idx="0">
                  <c:v>Entry</c:v>
                </c:pt>
                <c:pt idx="1">
                  <c:v>Exit</c:v>
                </c:pt>
              </c:strCache>
            </c:strRef>
          </c:cat>
          <c:val>
            <c:numRef>
              <c:f>'WHO-5'!$B$2:$B$3</c:f>
              <c:numCache>
                <c:formatCode>General</c:formatCode>
                <c:ptCount val="2"/>
                <c:pt idx="0">
                  <c:v>44.6</c:v>
                </c:pt>
                <c:pt idx="1">
                  <c:v>64.599999999999994</c:v>
                </c:pt>
              </c:numCache>
            </c:numRef>
          </c:val>
        </c:ser>
        <c:dLbls>
          <c:showLegendKey val="0"/>
          <c:showVal val="0"/>
          <c:showCatName val="0"/>
          <c:showSerName val="0"/>
          <c:showPercent val="0"/>
          <c:showBubbleSize val="0"/>
        </c:dLbls>
        <c:gapWidth val="145"/>
        <c:overlap val="38"/>
        <c:axId val="200864704"/>
        <c:axId val="200865880"/>
      </c:barChart>
      <c:catAx>
        <c:axId val="20086470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crossAx val="200865880"/>
        <c:crosses val="autoZero"/>
        <c:auto val="1"/>
        <c:lblAlgn val="ctr"/>
        <c:lblOffset val="100"/>
        <c:noMultiLvlLbl val="0"/>
      </c:catAx>
      <c:valAx>
        <c:axId val="200865880"/>
        <c:scaling>
          <c:orientation val="minMax"/>
          <c:max val="70"/>
        </c:scaling>
        <c:delete val="1"/>
        <c:axPos val="l"/>
        <c:numFmt formatCode="General" sourceLinked="1"/>
        <c:majorTickMark val="none"/>
        <c:minorTickMark val="none"/>
        <c:tickLblPos val="nextTo"/>
        <c:crossAx val="20086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AU" b="1"/>
              <a:t>The</a:t>
            </a:r>
            <a:r>
              <a:rPr lang="en-AU" b="1" baseline="0"/>
              <a:t> proportion of people </a:t>
            </a:r>
            <a:r>
              <a:rPr lang="en-AU" b="1" baseline="0">
                <a:solidFill>
                  <a:schemeClr val="accent3"/>
                </a:solidFill>
              </a:rPr>
              <a:t>exercising</a:t>
            </a:r>
            <a:r>
              <a:rPr lang="en-AU" b="1" baseline="0"/>
              <a:t> 3-4 times a week increased from 28% to 58%</a:t>
            </a:r>
            <a:endParaRPr lang="en-AU"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Sheet3!$B$2</c:f>
              <c:strCache>
                <c:ptCount val="1"/>
                <c:pt idx="0">
                  <c:v>Exit</c:v>
                </c:pt>
              </c:strCache>
            </c:strRef>
          </c:tx>
          <c:spPr>
            <a:solidFill>
              <a:schemeClr val="accent3"/>
            </a:solidFill>
            <a:ln>
              <a:noFill/>
            </a:ln>
            <a:effectLst/>
          </c:spPr>
          <c:invertIfNegative val="0"/>
          <c:cat>
            <c:strRef>
              <c:f>Sheet3!$A$3:$A$7</c:f>
              <c:strCache>
                <c:ptCount val="5"/>
                <c:pt idx="0">
                  <c:v>Everyday</c:v>
                </c:pt>
                <c:pt idx="1">
                  <c:v>5-6 times a week</c:v>
                </c:pt>
                <c:pt idx="2">
                  <c:v>3-4 times a week</c:v>
                </c:pt>
                <c:pt idx="3">
                  <c:v>1-2 times a week</c:v>
                </c:pt>
                <c:pt idx="4">
                  <c:v>Don't exercise</c:v>
                </c:pt>
              </c:strCache>
            </c:strRef>
          </c:cat>
          <c:val>
            <c:numRef>
              <c:f>Sheet3!$B$3:$B$7</c:f>
              <c:numCache>
                <c:formatCode>0%</c:formatCode>
                <c:ptCount val="5"/>
                <c:pt idx="0">
                  <c:v>0.158</c:v>
                </c:pt>
                <c:pt idx="1">
                  <c:v>0.158</c:v>
                </c:pt>
                <c:pt idx="2">
                  <c:v>0.57899999999999996</c:v>
                </c:pt>
                <c:pt idx="3">
                  <c:v>0.105</c:v>
                </c:pt>
                <c:pt idx="4">
                  <c:v>0</c:v>
                </c:pt>
              </c:numCache>
            </c:numRef>
          </c:val>
        </c:ser>
        <c:ser>
          <c:idx val="1"/>
          <c:order val="1"/>
          <c:tx>
            <c:strRef>
              <c:f>Sheet3!$C$2</c:f>
              <c:strCache>
                <c:ptCount val="1"/>
                <c:pt idx="0">
                  <c:v>Entry</c:v>
                </c:pt>
              </c:strCache>
            </c:strRef>
          </c:tx>
          <c:spPr>
            <a:solidFill>
              <a:schemeClr val="bg1">
                <a:lumMod val="75000"/>
              </a:schemeClr>
            </a:solidFill>
            <a:ln>
              <a:noFill/>
            </a:ln>
            <a:effectLst/>
          </c:spPr>
          <c:invertIfNegative val="0"/>
          <c:cat>
            <c:strRef>
              <c:f>Sheet3!$A$3:$A$7</c:f>
              <c:strCache>
                <c:ptCount val="5"/>
                <c:pt idx="0">
                  <c:v>Everyday</c:v>
                </c:pt>
                <c:pt idx="1">
                  <c:v>5-6 times a week</c:v>
                </c:pt>
                <c:pt idx="2">
                  <c:v>3-4 times a week</c:v>
                </c:pt>
                <c:pt idx="3">
                  <c:v>1-2 times a week</c:v>
                </c:pt>
                <c:pt idx="4">
                  <c:v>Don't exercise</c:v>
                </c:pt>
              </c:strCache>
            </c:strRef>
          </c:cat>
          <c:val>
            <c:numRef>
              <c:f>Sheet3!$C$3:$C$7</c:f>
              <c:numCache>
                <c:formatCode>0%</c:formatCode>
                <c:ptCount val="5"/>
                <c:pt idx="0">
                  <c:v>2.8000000000000001E-2</c:v>
                </c:pt>
                <c:pt idx="1">
                  <c:v>0</c:v>
                </c:pt>
                <c:pt idx="2">
                  <c:v>0.27800000000000002</c:v>
                </c:pt>
                <c:pt idx="3">
                  <c:v>0.38900000000000001</c:v>
                </c:pt>
                <c:pt idx="4">
                  <c:v>0.30599999999999999</c:v>
                </c:pt>
              </c:numCache>
            </c:numRef>
          </c:val>
        </c:ser>
        <c:dLbls>
          <c:showLegendKey val="0"/>
          <c:showVal val="0"/>
          <c:showCatName val="0"/>
          <c:showSerName val="0"/>
          <c:showPercent val="0"/>
          <c:showBubbleSize val="0"/>
        </c:dLbls>
        <c:gapWidth val="182"/>
        <c:axId val="198545120"/>
        <c:axId val="471823152"/>
      </c:barChart>
      <c:catAx>
        <c:axId val="198545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71823152"/>
        <c:crosses val="autoZero"/>
        <c:auto val="1"/>
        <c:lblAlgn val="ctr"/>
        <c:lblOffset val="100"/>
        <c:noMultiLvlLbl val="0"/>
      </c:catAx>
      <c:valAx>
        <c:axId val="471823152"/>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8545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AU" b="1"/>
              <a:t>The proportion of people eating 2-3</a:t>
            </a:r>
            <a:r>
              <a:rPr lang="en-AU" b="1" baseline="0"/>
              <a:t> serves of </a:t>
            </a:r>
            <a:r>
              <a:rPr lang="en-AU" b="1" baseline="0">
                <a:solidFill>
                  <a:schemeClr val="accent4"/>
                </a:solidFill>
              </a:rPr>
              <a:t>vegetables </a:t>
            </a:r>
            <a:r>
              <a:rPr lang="en-AU" b="1" baseline="0"/>
              <a:t>a day increased from 60% to 75%</a:t>
            </a:r>
            <a:endParaRPr lang="en-AU"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Sheet3!$B$2</c:f>
              <c:strCache>
                <c:ptCount val="1"/>
                <c:pt idx="0">
                  <c:v>Exit</c:v>
                </c:pt>
              </c:strCache>
            </c:strRef>
          </c:tx>
          <c:spPr>
            <a:solidFill>
              <a:schemeClr val="accent4"/>
            </a:solidFill>
            <a:ln>
              <a:noFill/>
            </a:ln>
            <a:effectLst/>
          </c:spPr>
          <c:invertIfNegative val="0"/>
          <c:cat>
            <c:strRef>
              <c:f>Sheet3!$A$24:$A$28</c:f>
              <c:strCache>
                <c:ptCount val="5"/>
                <c:pt idx="0">
                  <c:v>6 serves or more</c:v>
                </c:pt>
                <c:pt idx="1">
                  <c:v>4-5 serves</c:v>
                </c:pt>
                <c:pt idx="2">
                  <c:v>2-3 serves</c:v>
                </c:pt>
                <c:pt idx="3">
                  <c:v>1 serve or less</c:v>
                </c:pt>
                <c:pt idx="4">
                  <c:v>Don't eat vegetable</c:v>
                </c:pt>
              </c:strCache>
            </c:strRef>
          </c:cat>
          <c:val>
            <c:numRef>
              <c:f>Sheet3!$B$24:$B$28</c:f>
              <c:numCache>
                <c:formatCode>0%</c:formatCode>
                <c:ptCount val="5"/>
                <c:pt idx="0">
                  <c:v>0.05</c:v>
                </c:pt>
                <c:pt idx="1">
                  <c:v>0.15</c:v>
                </c:pt>
                <c:pt idx="2">
                  <c:v>0.75</c:v>
                </c:pt>
                <c:pt idx="3">
                  <c:v>0.05</c:v>
                </c:pt>
                <c:pt idx="4">
                  <c:v>0</c:v>
                </c:pt>
              </c:numCache>
            </c:numRef>
          </c:val>
        </c:ser>
        <c:ser>
          <c:idx val="1"/>
          <c:order val="1"/>
          <c:tx>
            <c:strRef>
              <c:f>Sheet3!$C$2</c:f>
              <c:strCache>
                <c:ptCount val="1"/>
                <c:pt idx="0">
                  <c:v>Entry</c:v>
                </c:pt>
              </c:strCache>
            </c:strRef>
          </c:tx>
          <c:spPr>
            <a:solidFill>
              <a:schemeClr val="bg1">
                <a:lumMod val="75000"/>
              </a:schemeClr>
            </a:solidFill>
            <a:ln>
              <a:noFill/>
            </a:ln>
            <a:effectLst/>
          </c:spPr>
          <c:invertIfNegative val="0"/>
          <c:cat>
            <c:strRef>
              <c:f>Sheet3!$A$24:$A$28</c:f>
              <c:strCache>
                <c:ptCount val="5"/>
                <c:pt idx="0">
                  <c:v>6 serves or more</c:v>
                </c:pt>
                <c:pt idx="1">
                  <c:v>4-5 serves</c:v>
                </c:pt>
                <c:pt idx="2">
                  <c:v>2-3 serves</c:v>
                </c:pt>
                <c:pt idx="3">
                  <c:v>1 serve or less</c:v>
                </c:pt>
                <c:pt idx="4">
                  <c:v>Don't eat vegetable</c:v>
                </c:pt>
              </c:strCache>
            </c:strRef>
          </c:cat>
          <c:val>
            <c:numRef>
              <c:f>Sheet3!$C$24:$C$28</c:f>
              <c:numCache>
                <c:formatCode>0%</c:formatCode>
                <c:ptCount val="5"/>
                <c:pt idx="0">
                  <c:v>2.9000000000000001E-2</c:v>
                </c:pt>
                <c:pt idx="1">
                  <c:v>5.7000000000000002E-2</c:v>
                </c:pt>
                <c:pt idx="2">
                  <c:v>0.6</c:v>
                </c:pt>
                <c:pt idx="3">
                  <c:v>0.314</c:v>
                </c:pt>
                <c:pt idx="4">
                  <c:v>0</c:v>
                </c:pt>
              </c:numCache>
            </c:numRef>
          </c:val>
        </c:ser>
        <c:dLbls>
          <c:showLegendKey val="0"/>
          <c:showVal val="0"/>
          <c:showCatName val="0"/>
          <c:showSerName val="0"/>
          <c:showPercent val="0"/>
          <c:showBubbleSize val="0"/>
        </c:dLbls>
        <c:gapWidth val="182"/>
        <c:axId val="471823936"/>
        <c:axId val="471824328"/>
      </c:barChart>
      <c:catAx>
        <c:axId val="471823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71824328"/>
        <c:crosses val="autoZero"/>
        <c:auto val="1"/>
        <c:lblAlgn val="ctr"/>
        <c:lblOffset val="100"/>
        <c:noMultiLvlLbl val="0"/>
      </c:catAx>
      <c:valAx>
        <c:axId val="471824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182393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1"/>
              <a:t>The</a:t>
            </a:r>
            <a:r>
              <a:rPr lang="en-AU" b="1" baseline="0"/>
              <a:t> proportion of people eating 2-3 serves </a:t>
            </a:r>
            <a:r>
              <a:rPr lang="en-AU" b="1" baseline="0">
                <a:solidFill>
                  <a:schemeClr val="accent6"/>
                </a:solidFill>
              </a:rPr>
              <a:t>fruit</a:t>
            </a:r>
            <a:r>
              <a:rPr lang="en-AU" b="1" baseline="0"/>
              <a:t> a day increased from 33% to 55% </a:t>
            </a:r>
            <a:endParaRPr lang="en-AU"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Sheet3!$B$2</c:f>
              <c:strCache>
                <c:ptCount val="1"/>
                <c:pt idx="0">
                  <c:v>Exit</c:v>
                </c:pt>
              </c:strCache>
            </c:strRef>
          </c:tx>
          <c:spPr>
            <a:solidFill>
              <a:schemeClr val="accent6"/>
            </a:solidFill>
            <a:ln>
              <a:noFill/>
            </a:ln>
            <a:effectLst/>
          </c:spPr>
          <c:invertIfNegative val="0"/>
          <c:cat>
            <c:strRef>
              <c:f>Sheet3!$A$34:$A$38</c:f>
              <c:strCache>
                <c:ptCount val="5"/>
                <c:pt idx="0">
                  <c:v>6 serves or more</c:v>
                </c:pt>
                <c:pt idx="1">
                  <c:v>4-5 serves</c:v>
                </c:pt>
                <c:pt idx="2">
                  <c:v>2-3 serves</c:v>
                </c:pt>
                <c:pt idx="3">
                  <c:v>1 serve or less</c:v>
                </c:pt>
                <c:pt idx="4">
                  <c:v>Don't eat fruit</c:v>
                </c:pt>
              </c:strCache>
            </c:strRef>
          </c:cat>
          <c:val>
            <c:numRef>
              <c:f>Sheet3!$B$34:$B$38</c:f>
              <c:numCache>
                <c:formatCode>0%</c:formatCode>
                <c:ptCount val="5"/>
                <c:pt idx="0">
                  <c:v>0</c:v>
                </c:pt>
                <c:pt idx="1">
                  <c:v>0.05</c:v>
                </c:pt>
                <c:pt idx="2">
                  <c:v>0.55000000000000004</c:v>
                </c:pt>
                <c:pt idx="3">
                  <c:v>0.4</c:v>
                </c:pt>
                <c:pt idx="4">
                  <c:v>0</c:v>
                </c:pt>
              </c:numCache>
            </c:numRef>
          </c:val>
        </c:ser>
        <c:ser>
          <c:idx val="1"/>
          <c:order val="1"/>
          <c:tx>
            <c:strRef>
              <c:f>Sheet3!$C$2</c:f>
              <c:strCache>
                <c:ptCount val="1"/>
                <c:pt idx="0">
                  <c:v>Entry</c:v>
                </c:pt>
              </c:strCache>
            </c:strRef>
          </c:tx>
          <c:spPr>
            <a:solidFill>
              <a:schemeClr val="bg1">
                <a:lumMod val="75000"/>
              </a:schemeClr>
            </a:solidFill>
            <a:ln>
              <a:noFill/>
            </a:ln>
            <a:effectLst/>
          </c:spPr>
          <c:invertIfNegative val="0"/>
          <c:cat>
            <c:strRef>
              <c:f>Sheet3!$A$34:$A$38</c:f>
              <c:strCache>
                <c:ptCount val="5"/>
                <c:pt idx="0">
                  <c:v>6 serves or more</c:v>
                </c:pt>
                <c:pt idx="1">
                  <c:v>4-5 serves</c:v>
                </c:pt>
                <c:pt idx="2">
                  <c:v>2-3 serves</c:v>
                </c:pt>
                <c:pt idx="3">
                  <c:v>1 serve or less</c:v>
                </c:pt>
                <c:pt idx="4">
                  <c:v>Don't eat fruit</c:v>
                </c:pt>
              </c:strCache>
            </c:strRef>
          </c:cat>
          <c:val>
            <c:numRef>
              <c:f>Sheet3!$C$34:$C$38</c:f>
              <c:numCache>
                <c:formatCode>0%</c:formatCode>
                <c:ptCount val="5"/>
                <c:pt idx="0">
                  <c:v>2.8000000000000001E-2</c:v>
                </c:pt>
                <c:pt idx="1">
                  <c:v>0</c:v>
                </c:pt>
                <c:pt idx="2">
                  <c:v>0.33300000000000002</c:v>
                </c:pt>
                <c:pt idx="3">
                  <c:v>0.52800000000000002</c:v>
                </c:pt>
                <c:pt idx="4">
                  <c:v>0.11</c:v>
                </c:pt>
              </c:numCache>
            </c:numRef>
          </c:val>
        </c:ser>
        <c:dLbls>
          <c:showLegendKey val="0"/>
          <c:showVal val="0"/>
          <c:showCatName val="0"/>
          <c:showSerName val="0"/>
          <c:showPercent val="0"/>
          <c:showBubbleSize val="0"/>
        </c:dLbls>
        <c:gapWidth val="182"/>
        <c:axId val="293594504"/>
        <c:axId val="293594896"/>
      </c:barChart>
      <c:catAx>
        <c:axId val="293594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93594896"/>
        <c:crosses val="autoZero"/>
        <c:auto val="1"/>
        <c:lblAlgn val="ctr"/>
        <c:lblOffset val="100"/>
        <c:noMultiLvlLbl val="0"/>
      </c:catAx>
      <c:valAx>
        <c:axId val="293594896"/>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935945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2"/>
                </a:solidFill>
                <a:latin typeface="+mn-lt"/>
                <a:ea typeface="+mn-ea"/>
                <a:cs typeface="+mn-cs"/>
              </a:defRPr>
            </a:pPr>
            <a:r>
              <a:rPr lang="en-AU" b="1">
                <a:solidFill>
                  <a:schemeClr val="accent2"/>
                </a:solidFill>
              </a:rPr>
              <a:t>Statistically</a:t>
            </a:r>
            <a:r>
              <a:rPr lang="en-AU" b="1" baseline="0">
                <a:solidFill>
                  <a:schemeClr val="accent2"/>
                </a:solidFill>
              </a:rPr>
              <a:t> significant increase in health literacy scores (HLQ)</a:t>
            </a:r>
            <a:endParaRPr lang="en-AU" b="1">
              <a:solidFill>
                <a:schemeClr val="accent2"/>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2"/>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HLQ!$A$2:$A$3</c:f>
              <c:strCache>
                <c:ptCount val="2"/>
                <c:pt idx="0">
                  <c:v>Entry</c:v>
                </c:pt>
                <c:pt idx="1">
                  <c:v>Exit</c:v>
                </c:pt>
              </c:strCache>
            </c:strRef>
          </c:cat>
          <c:val>
            <c:numRef>
              <c:f>HLQ!$B$2:$B$3</c:f>
              <c:numCache>
                <c:formatCode>General</c:formatCode>
                <c:ptCount val="2"/>
                <c:pt idx="0">
                  <c:v>2.6</c:v>
                </c:pt>
                <c:pt idx="1">
                  <c:v>3.2</c:v>
                </c:pt>
              </c:numCache>
            </c:numRef>
          </c:val>
        </c:ser>
        <c:dLbls>
          <c:showLegendKey val="0"/>
          <c:showVal val="0"/>
          <c:showCatName val="0"/>
          <c:showSerName val="0"/>
          <c:showPercent val="0"/>
          <c:showBubbleSize val="0"/>
        </c:dLbls>
        <c:gapWidth val="145"/>
        <c:overlap val="-27"/>
        <c:axId val="293596072"/>
        <c:axId val="469563192"/>
      </c:barChart>
      <c:catAx>
        <c:axId val="29359607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0" u="none" strike="noStrike" kern="1200" baseline="0">
                <a:solidFill>
                  <a:schemeClr val="accent2"/>
                </a:solidFill>
                <a:latin typeface="+mn-lt"/>
                <a:ea typeface="+mn-ea"/>
                <a:cs typeface="+mn-cs"/>
              </a:defRPr>
            </a:pPr>
            <a:endParaRPr lang="en-US"/>
          </a:p>
        </c:txPr>
        <c:crossAx val="469563192"/>
        <c:crosses val="autoZero"/>
        <c:auto val="1"/>
        <c:lblAlgn val="ctr"/>
        <c:lblOffset val="100"/>
        <c:noMultiLvlLbl val="0"/>
      </c:catAx>
      <c:valAx>
        <c:axId val="469563192"/>
        <c:scaling>
          <c:orientation val="minMax"/>
        </c:scaling>
        <c:delete val="1"/>
        <c:axPos val="l"/>
        <c:numFmt formatCode="General" sourceLinked="1"/>
        <c:majorTickMark val="none"/>
        <c:minorTickMark val="none"/>
        <c:tickLblPos val="nextTo"/>
        <c:crossAx val="2935960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Neami National</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Turut</dc:creator>
  <cp:keywords/>
  <dc:description/>
  <cp:lastModifiedBy>Keren Wolstencroft</cp:lastModifiedBy>
  <cp:revision>2</cp:revision>
  <dcterms:created xsi:type="dcterms:W3CDTF">2017-08-28T05:24:00Z</dcterms:created>
  <dcterms:modified xsi:type="dcterms:W3CDTF">2017-08-28T05:24:00Z</dcterms:modified>
</cp:coreProperties>
</file>